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56F2A" w14:textId="7E0F9FFD" w:rsidR="00EB334D" w:rsidRDefault="002A0C25">
      <w:hyperlink r:id="rId4" w:history="1">
        <w:r w:rsidRPr="00A26726">
          <w:rPr>
            <w:rStyle w:val="Hyperlink"/>
          </w:rPr>
          <w:t>https://www.legislation.nsw.gov.au/#/view/act/2014/72</w:t>
        </w:r>
      </w:hyperlink>
    </w:p>
    <w:p w14:paraId="6F5594CB" w14:textId="77777777" w:rsidR="00817266" w:rsidRPr="00834495" w:rsidRDefault="00817266" w:rsidP="00817266">
      <w:pPr>
        <w:keepNext/>
        <w:spacing w:after="0" w:line="240" w:lineRule="auto"/>
        <w:rPr>
          <w:rFonts w:ascii="Arial" w:eastAsia="Times New Roman" w:hAnsi="Arial" w:cs="Arial"/>
          <w:b/>
          <w:bCs/>
          <w:color w:val="000000"/>
          <w:sz w:val="38"/>
          <w:szCs w:val="38"/>
          <w:lang w:eastAsia="en-AU"/>
        </w:rPr>
      </w:pPr>
      <w:bookmarkStart w:id="0" w:name="_Hlk28503982"/>
      <w:r w:rsidRPr="00834495">
        <w:rPr>
          <w:rFonts w:ascii="Arial" w:eastAsia="Times New Roman" w:hAnsi="Arial" w:cs="Arial"/>
          <w:b/>
          <w:bCs/>
          <w:color w:val="000000"/>
          <w:sz w:val="38"/>
          <w:szCs w:val="38"/>
          <w:lang w:eastAsia="en-AU"/>
        </w:rPr>
        <w:t xml:space="preserve">Marine Estate Management Act 2014 No 72 </w:t>
      </w:r>
    </w:p>
    <w:p w14:paraId="413A278F" w14:textId="633D4DD1" w:rsidR="00817266" w:rsidRPr="00817266" w:rsidRDefault="00817266" w:rsidP="00817266">
      <w:pPr>
        <w:spacing w:after="0" w:line="240" w:lineRule="auto"/>
        <w:rPr>
          <w:rFonts w:ascii="Times New Roman" w:eastAsia="Times New Roman" w:hAnsi="Times New Roman" w:cs="Times New Roman"/>
          <w:color w:val="000000"/>
          <w:sz w:val="19"/>
          <w:szCs w:val="19"/>
          <w:lang w:eastAsia="en-AU"/>
        </w:rPr>
      </w:pPr>
      <w:r w:rsidRPr="00817266">
        <w:rPr>
          <w:rFonts w:ascii="Times New Roman" w:eastAsia="Times New Roman" w:hAnsi="Times New Roman" w:cs="Times New Roman"/>
          <w:color w:val="000000"/>
          <w:sz w:val="19"/>
          <w:szCs w:val="19"/>
          <w:lang w:eastAsia="en-AU"/>
        </w:rPr>
        <w:t xml:space="preserve">Current version for 1 August 2018 to date (accessed 28 December 2019 at 16:27) </w:t>
      </w:r>
    </w:p>
    <w:p w14:paraId="41DF4369" w14:textId="77777777" w:rsidR="00817266" w:rsidRPr="00817266" w:rsidRDefault="00817266" w:rsidP="00817266">
      <w:pPr>
        <w:spacing w:after="0" w:line="240" w:lineRule="auto"/>
        <w:rPr>
          <w:rFonts w:ascii="Times New Roman" w:eastAsia="Times New Roman" w:hAnsi="Times New Roman" w:cs="Times New Roman"/>
          <w:color w:val="000000"/>
          <w:sz w:val="19"/>
          <w:szCs w:val="19"/>
          <w:lang w:eastAsia="en-AU"/>
        </w:rPr>
      </w:pPr>
    </w:p>
    <w:p w14:paraId="6F0C5D82" w14:textId="77777777" w:rsidR="00817266" w:rsidRPr="00817266" w:rsidRDefault="00817266" w:rsidP="00817266">
      <w:pPr>
        <w:spacing w:after="0" w:line="240" w:lineRule="auto"/>
        <w:textAlignment w:val="bottom"/>
        <w:rPr>
          <w:rFonts w:ascii="Times New Roman" w:eastAsia="Times New Roman" w:hAnsi="Times New Roman" w:cs="Times New Roman"/>
          <w:color w:val="003399"/>
          <w:sz w:val="24"/>
          <w:szCs w:val="24"/>
          <w:lang w:eastAsia="en-AU"/>
        </w:rPr>
      </w:pPr>
      <w:hyperlink r:id="rId5" w:anchor="/view/act/2014/72/part5?" w:history="1">
        <w:r w:rsidRPr="00817266">
          <w:rPr>
            <w:rFonts w:ascii="Times New Roman" w:eastAsia="Times New Roman" w:hAnsi="Times New Roman" w:cs="Times New Roman"/>
            <w:color w:val="003399"/>
            <w:sz w:val="24"/>
            <w:szCs w:val="24"/>
            <w:u w:val="single"/>
            <w:lang w:eastAsia="en-AU"/>
          </w:rPr>
          <w:t>Part 5</w:t>
        </w:r>
      </w:hyperlink>
      <w:r w:rsidRPr="00817266">
        <w:rPr>
          <w:rFonts w:ascii="Times New Roman" w:eastAsia="Times New Roman" w:hAnsi="Times New Roman" w:cs="Times New Roman"/>
          <w:color w:val="003399"/>
          <w:sz w:val="24"/>
          <w:szCs w:val="24"/>
          <w:lang w:eastAsia="en-AU"/>
        </w:rPr>
        <w:t xml:space="preserve"> </w:t>
      </w:r>
      <w:hyperlink r:id="rId6" w:anchor="/view/act/2014/72/part5/div4?" w:history="1">
        <w:r w:rsidRPr="00817266">
          <w:rPr>
            <w:rFonts w:ascii="Times New Roman" w:eastAsia="Times New Roman" w:hAnsi="Times New Roman" w:cs="Times New Roman"/>
            <w:color w:val="003399"/>
            <w:sz w:val="24"/>
            <w:szCs w:val="24"/>
            <w:u w:val="single"/>
            <w:lang w:eastAsia="en-AU"/>
          </w:rPr>
          <w:t>Division 4</w:t>
        </w:r>
      </w:hyperlink>
      <w:r w:rsidRPr="00817266">
        <w:rPr>
          <w:rFonts w:ascii="Times New Roman" w:eastAsia="Times New Roman" w:hAnsi="Times New Roman" w:cs="Times New Roman"/>
          <w:color w:val="003399"/>
          <w:sz w:val="24"/>
          <w:szCs w:val="24"/>
          <w:lang w:eastAsia="en-AU"/>
        </w:rPr>
        <w:t xml:space="preserve"> Section 43 </w:t>
      </w:r>
    </w:p>
    <w:p w14:paraId="486C25C8" w14:textId="77777777" w:rsidR="00817266" w:rsidRPr="00817266" w:rsidRDefault="00817266" w:rsidP="00817266">
      <w:pPr>
        <w:spacing w:after="0" w:line="240" w:lineRule="auto"/>
        <w:textAlignment w:val="bottom"/>
        <w:rPr>
          <w:rFonts w:ascii="Times New Roman" w:eastAsia="Times New Roman" w:hAnsi="Times New Roman" w:cs="Times New Roman"/>
          <w:color w:val="003399"/>
          <w:sz w:val="18"/>
          <w:szCs w:val="18"/>
          <w:lang w:eastAsia="en-AU"/>
        </w:rPr>
      </w:pPr>
    </w:p>
    <w:p w14:paraId="77F256AC" w14:textId="77777777" w:rsidR="00817266" w:rsidRPr="00817266" w:rsidRDefault="00817266" w:rsidP="00817266">
      <w:pPr>
        <w:keepNext/>
        <w:spacing w:line="240" w:lineRule="auto"/>
        <w:rPr>
          <w:rFonts w:ascii="Times New Roman" w:eastAsia="Times New Roman" w:hAnsi="Times New Roman" w:cs="Times New Roman"/>
          <w:color w:val="000000"/>
          <w:sz w:val="24"/>
          <w:szCs w:val="24"/>
          <w:lang w:eastAsia="en-AU"/>
        </w:rPr>
      </w:pPr>
      <w:r w:rsidRPr="00817266">
        <w:rPr>
          <w:rFonts w:ascii="Times New Roman" w:eastAsia="Times New Roman" w:hAnsi="Times New Roman" w:cs="Times New Roman"/>
          <w:b/>
          <w:bCs/>
          <w:color w:val="000000"/>
          <w:sz w:val="24"/>
          <w:szCs w:val="24"/>
          <w:lang w:eastAsia="en-AU"/>
        </w:rPr>
        <w:t>43</w:t>
      </w:r>
      <w:r w:rsidRPr="00817266">
        <w:rPr>
          <w:rFonts w:ascii="Times New Roman" w:eastAsia="Times New Roman" w:hAnsi="Times New Roman" w:cs="Times New Roman"/>
          <w:color w:val="000000"/>
          <w:sz w:val="24"/>
          <w:szCs w:val="24"/>
          <w:lang w:eastAsia="en-AU"/>
        </w:rPr>
        <w:t>   </w:t>
      </w:r>
      <w:r w:rsidRPr="00817266">
        <w:rPr>
          <w:rFonts w:ascii="Times New Roman" w:eastAsia="Times New Roman" w:hAnsi="Times New Roman" w:cs="Times New Roman"/>
          <w:b/>
          <w:bCs/>
          <w:color w:val="000000"/>
          <w:sz w:val="24"/>
          <w:szCs w:val="24"/>
          <w:lang w:eastAsia="en-AU"/>
        </w:rPr>
        <w:t>Making management rules for marine parks and aquatic reserves</w:t>
      </w:r>
    </w:p>
    <w:p w14:paraId="26F40FB4" w14:textId="10FF26DB" w:rsidR="00817266" w:rsidRPr="00834495" w:rsidRDefault="00817266" w:rsidP="00F76D29">
      <w:pPr>
        <w:spacing w:line="240" w:lineRule="auto"/>
        <w:ind w:left="567"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(1)</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The relevant Ministers may cause draft management rules to be prepared for a marine park or an aquatic reserve.</w:t>
      </w:r>
    </w:p>
    <w:p w14:paraId="7C0B32BF" w14:textId="27825C67" w:rsidR="00817266" w:rsidRPr="00834495" w:rsidRDefault="00817266" w:rsidP="00F76D29">
      <w:pPr>
        <w:spacing w:after="0" w:line="240" w:lineRule="auto"/>
        <w:ind w:left="567"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(2)</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In preparing draft management rules, the relevant Ministers must have regard to:</w:t>
      </w:r>
    </w:p>
    <w:p w14:paraId="54A6B8BB" w14:textId="4F1FA1C6" w:rsidR="00817266" w:rsidRPr="00834495" w:rsidRDefault="00817266" w:rsidP="00F76D29">
      <w:pPr>
        <w:tabs>
          <w:tab w:val="left" w:pos="993"/>
        </w:tabs>
        <w:spacing w:line="240" w:lineRule="auto"/>
        <w:ind w:left="1134"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(a)</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the marine estate management strategy (if one has been approved), and</w:t>
      </w:r>
    </w:p>
    <w:p w14:paraId="1B09B4C7" w14:textId="0B8E1847" w:rsidR="00817266" w:rsidRPr="00834495" w:rsidRDefault="00817266" w:rsidP="00F76D29">
      <w:pPr>
        <w:tabs>
          <w:tab w:val="left" w:pos="993"/>
        </w:tabs>
        <w:spacing w:line="240" w:lineRule="auto"/>
        <w:ind w:left="1134"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(b)</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any relevant threat and risk assessment report prepared under this Act.</w:t>
      </w:r>
    </w:p>
    <w:p w14:paraId="5E68FDC6" w14:textId="65460C1F" w:rsidR="00817266" w:rsidRPr="00834495" w:rsidRDefault="00817266" w:rsidP="00F76D29">
      <w:pPr>
        <w:spacing w:line="240" w:lineRule="auto"/>
        <w:ind w:left="567"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(3)</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The relevant Ministers are to seek the advice of the Authority regarding the preparation of the draft management rules.</w:t>
      </w:r>
    </w:p>
    <w:p w14:paraId="7CDC79B4" w14:textId="4B4BE12B" w:rsidR="00817266" w:rsidRPr="00834495" w:rsidRDefault="00817266" w:rsidP="00F76D29">
      <w:pPr>
        <w:spacing w:line="240" w:lineRule="auto"/>
        <w:ind w:left="567"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(4)</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The relevant Ministers are to cause public notice to be given of the draft management rules.</w:t>
      </w:r>
    </w:p>
    <w:p w14:paraId="3135FA5C" w14:textId="390A1BA4" w:rsidR="00817266" w:rsidRPr="00834495" w:rsidRDefault="00817266" w:rsidP="00F76D29">
      <w:pPr>
        <w:spacing w:after="0" w:line="240" w:lineRule="auto"/>
        <w:ind w:left="567"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(5)</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The notice is to:</w:t>
      </w:r>
    </w:p>
    <w:p w14:paraId="7ED25A95" w14:textId="53D3476E" w:rsidR="00817266" w:rsidRPr="00834495" w:rsidRDefault="00817266" w:rsidP="00F76D29">
      <w:pPr>
        <w:spacing w:line="240" w:lineRule="auto"/>
        <w:ind w:left="1134"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(a)</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specify the address of each place at which copies of the draft management rules are available, and</w:t>
      </w:r>
    </w:p>
    <w:p w14:paraId="66EA0B0D" w14:textId="6B683388" w:rsidR="00817266" w:rsidRPr="00834495" w:rsidRDefault="00817266" w:rsidP="00F76D29">
      <w:pPr>
        <w:spacing w:line="240" w:lineRule="auto"/>
        <w:ind w:left="1134" w:hanging="567"/>
        <w:rPr>
          <w:rFonts w:ascii="Times New Roman" w:eastAsia="Times New Roman" w:hAnsi="Times New Roman" w:cs="Times New Roman"/>
          <w:color w:val="000000"/>
          <w:sz w:val="24"/>
          <w:szCs w:val="24"/>
          <w:lang w:eastAsia="en-AU"/>
        </w:rPr>
      </w:pPr>
      <w:r w:rsidRPr="00010D1E">
        <w:rPr>
          <w:rFonts w:ascii="Times New Roman" w:eastAsia="Times New Roman" w:hAnsi="Times New Roman" w:cs="Times New Roman"/>
          <w:color w:val="000000"/>
          <w:sz w:val="24"/>
          <w:szCs w:val="24"/>
          <w:highlight w:val="yellow"/>
          <w:lang w:eastAsia="en-AU"/>
        </w:rPr>
        <w:t>(b)</w:t>
      </w:r>
      <w:r>
        <w:rPr>
          <w:rFonts w:ascii="Times New Roman" w:eastAsia="Times New Roman" w:hAnsi="Times New Roman" w:cs="Times New Roman"/>
          <w:color w:val="000000"/>
          <w:sz w:val="24"/>
          <w:szCs w:val="24"/>
          <w:highlight w:val="yellow"/>
          <w:lang w:eastAsia="en-AU"/>
        </w:rPr>
        <w:tab/>
      </w:r>
      <w:r w:rsidRPr="00010D1E">
        <w:rPr>
          <w:rFonts w:ascii="Times New Roman" w:eastAsia="Times New Roman" w:hAnsi="Times New Roman" w:cs="Times New Roman"/>
          <w:color w:val="000000"/>
          <w:sz w:val="24"/>
          <w:szCs w:val="24"/>
          <w:highlight w:val="yellow"/>
          <w:lang w:eastAsia="en-AU"/>
        </w:rPr>
        <w:t>invite submissions to be made on the draft management rules before the date specified in the notice (being a date not less than 2 months after the date of the notice), and</w:t>
      </w:r>
    </w:p>
    <w:p w14:paraId="3BB6D48E" w14:textId="178DC9D1" w:rsidR="00817266" w:rsidRPr="00834495" w:rsidRDefault="00817266" w:rsidP="00F76D29">
      <w:pPr>
        <w:spacing w:line="240" w:lineRule="auto"/>
        <w:ind w:left="1134"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(c)</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specify the address to which submissions are to be forwarded.</w:t>
      </w:r>
    </w:p>
    <w:p w14:paraId="70051576" w14:textId="35840F7F" w:rsidR="00817266" w:rsidRPr="00834495" w:rsidRDefault="00817266" w:rsidP="00F76D29">
      <w:pPr>
        <w:spacing w:line="240" w:lineRule="auto"/>
        <w:ind w:left="567" w:hanging="567"/>
        <w:rPr>
          <w:rFonts w:ascii="Times New Roman" w:eastAsia="Times New Roman" w:hAnsi="Times New Roman" w:cs="Times New Roman"/>
          <w:color w:val="000000"/>
          <w:sz w:val="24"/>
          <w:szCs w:val="24"/>
          <w:lang w:eastAsia="en-AU"/>
        </w:rPr>
      </w:pPr>
      <w:r w:rsidRPr="00834495">
        <w:rPr>
          <w:rFonts w:ascii="Times New Roman" w:eastAsia="Times New Roman" w:hAnsi="Times New Roman" w:cs="Times New Roman"/>
          <w:color w:val="000000"/>
          <w:sz w:val="24"/>
          <w:szCs w:val="24"/>
          <w:lang w:eastAsia="en-AU"/>
        </w:rPr>
        <w:t>(6)</w:t>
      </w:r>
      <w:r>
        <w:rPr>
          <w:rFonts w:ascii="Times New Roman" w:eastAsia="Times New Roman" w:hAnsi="Times New Roman" w:cs="Times New Roman"/>
          <w:color w:val="000000"/>
          <w:sz w:val="24"/>
          <w:szCs w:val="24"/>
          <w:lang w:eastAsia="en-AU"/>
        </w:rPr>
        <w:tab/>
      </w:r>
      <w:r w:rsidRPr="00834495">
        <w:rPr>
          <w:rFonts w:ascii="Times New Roman" w:eastAsia="Times New Roman" w:hAnsi="Times New Roman" w:cs="Times New Roman"/>
          <w:color w:val="000000"/>
          <w:sz w:val="24"/>
          <w:szCs w:val="24"/>
          <w:lang w:eastAsia="en-AU"/>
        </w:rPr>
        <w:t>The relevant Ministers are to consider any submissions made before the date referred to in subsection (5) (b), or such later date as the relevant Ministers allow.</w:t>
      </w:r>
    </w:p>
    <w:bookmarkEnd w:id="0"/>
    <w:p w14:paraId="0E1553D2" w14:textId="2D29EFFB" w:rsidR="00817266" w:rsidRDefault="00817266" w:rsidP="00817266"/>
    <w:p w14:paraId="3B7BCABD" w14:textId="77777777" w:rsidR="00817266" w:rsidRPr="00817266" w:rsidRDefault="00817266" w:rsidP="00817266">
      <w:pPr>
        <w:textAlignment w:val="bottom"/>
        <w:rPr>
          <w:rFonts w:ascii="Times New Roman" w:hAnsi="Times New Roman" w:cs="Times New Roman"/>
          <w:color w:val="003399"/>
          <w:sz w:val="24"/>
          <w:szCs w:val="24"/>
        </w:rPr>
      </w:pPr>
      <w:hyperlink r:id="rId7" w:anchor="/view/act/2014/72/part5?" w:history="1">
        <w:r w:rsidRPr="00817266">
          <w:rPr>
            <w:rStyle w:val="Hyperlink"/>
            <w:rFonts w:ascii="Times New Roman" w:hAnsi="Times New Roman" w:cs="Times New Roman"/>
            <w:color w:val="003399"/>
            <w:sz w:val="24"/>
            <w:szCs w:val="24"/>
          </w:rPr>
          <w:t>Part 5</w:t>
        </w:r>
      </w:hyperlink>
      <w:r w:rsidRPr="00817266">
        <w:rPr>
          <w:rStyle w:val="ng-scope"/>
          <w:rFonts w:ascii="Times New Roman" w:hAnsi="Times New Roman" w:cs="Times New Roman"/>
          <w:color w:val="003399"/>
          <w:sz w:val="24"/>
          <w:szCs w:val="24"/>
        </w:rPr>
        <w:t xml:space="preserve"> </w:t>
      </w:r>
      <w:hyperlink r:id="rId8" w:anchor="/view/act/2014/72/part5/div5?" w:history="1">
        <w:r w:rsidRPr="00817266">
          <w:rPr>
            <w:rStyle w:val="Hyperlink"/>
            <w:rFonts w:ascii="Times New Roman" w:hAnsi="Times New Roman" w:cs="Times New Roman"/>
            <w:color w:val="003399"/>
            <w:sz w:val="24"/>
            <w:szCs w:val="24"/>
          </w:rPr>
          <w:t>Division 5</w:t>
        </w:r>
      </w:hyperlink>
      <w:r w:rsidRPr="00817266">
        <w:rPr>
          <w:rStyle w:val="ng-scope"/>
          <w:rFonts w:ascii="Times New Roman" w:hAnsi="Times New Roman" w:cs="Times New Roman"/>
          <w:color w:val="003399"/>
          <w:sz w:val="24"/>
          <w:szCs w:val="24"/>
        </w:rPr>
        <w:t xml:space="preserve"> </w:t>
      </w:r>
      <w:r w:rsidRPr="00817266">
        <w:rPr>
          <w:rStyle w:val="nolink"/>
          <w:rFonts w:ascii="Times New Roman" w:hAnsi="Times New Roman" w:cs="Times New Roman"/>
          <w:color w:val="003399"/>
          <w:sz w:val="24"/>
          <w:szCs w:val="24"/>
        </w:rPr>
        <w:t>Section 49</w:t>
      </w:r>
      <w:r w:rsidRPr="00817266">
        <w:rPr>
          <w:rStyle w:val="ng-scope"/>
          <w:rFonts w:ascii="Times New Roman" w:hAnsi="Times New Roman" w:cs="Times New Roman"/>
          <w:color w:val="003399"/>
          <w:sz w:val="24"/>
          <w:szCs w:val="24"/>
        </w:rPr>
        <w:t xml:space="preserve"> </w:t>
      </w:r>
    </w:p>
    <w:p w14:paraId="171D81FD" w14:textId="77777777" w:rsidR="00817266" w:rsidRPr="00817266" w:rsidRDefault="00817266" w:rsidP="00817266">
      <w:pPr>
        <w:keepNext/>
        <w:rPr>
          <w:rFonts w:ascii="Times New Roman" w:hAnsi="Times New Roman" w:cs="Times New Roman"/>
          <w:color w:val="000000"/>
          <w:sz w:val="24"/>
          <w:szCs w:val="24"/>
        </w:rPr>
      </w:pPr>
      <w:r w:rsidRPr="00817266">
        <w:rPr>
          <w:rStyle w:val="frag-no"/>
          <w:rFonts w:ascii="Times New Roman" w:hAnsi="Times New Roman" w:cs="Times New Roman"/>
          <w:b/>
          <w:bCs/>
          <w:color w:val="000000"/>
          <w:sz w:val="24"/>
          <w:szCs w:val="24"/>
        </w:rPr>
        <w:t>49</w:t>
      </w:r>
      <w:r w:rsidRPr="00817266">
        <w:rPr>
          <w:rFonts w:ascii="Times New Roman" w:hAnsi="Times New Roman" w:cs="Times New Roman"/>
          <w:color w:val="000000"/>
          <w:sz w:val="24"/>
          <w:szCs w:val="24"/>
        </w:rPr>
        <w:t>   </w:t>
      </w:r>
      <w:r w:rsidRPr="00817266">
        <w:rPr>
          <w:rStyle w:val="frag-heading"/>
          <w:rFonts w:ascii="Times New Roman" w:hAnsi="Times New Roman" w:cs="Times New Roman"/>
          <w:b/>
          <w:bCs/>
          <w:color w:val="000000"/>
          <w:sz w:val="24"/>
          <w:szCs w:val="24"/>
        </w:rPr>
        <w:t>Preparation of management plans for marine parks and aquatic reserves</w:t>
      </w:r>
    </w:p>
    <w:p w14:paraId="62108BC4" w14:textId="26535A4C" w:rsidR="00817266" w:rsidRPr="00817266" w:rsidRDefault="00817266" w:rsidP="00F76D29">
      <w:pPr>
        <w:ind w:left="567"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(1)</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The relevant Ministers are, in preparing a draft management plan for a marine park or an aquatic reserve, to have regard to:</w:t>
      </w:r>
    </w:p>
    <w:p w14:paraId="2FCEDBA2" w14:textId="66BBE34F" w:rsidR="00817266" w:rsidRPr="00817266" w:rsidRDefault="00817266" w:rsidP="00F76D29">
      <w:pPr>
        <w:ind w:left="1134"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(a)</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any relevant threat and risk assessment report prepared under this Act, and</w:t>
      </w:r>
    </w:p>
    <w:p w14:paraId="2DCCB23D" w14:textId="510C3566" w:rsidR="00817266" w:rsidRPr="00817266" w:rsidRDefault="00817266" w:rsidP="00F76D29">
      <w:pPr>
        <w:ind w:left="1134"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(b)</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the provisions of this Act and any regulations under this Act.</w:t>
      </w:r>
    </w:p>
    <w:p w14:paraId="18A93C22" w14:textId="5B31C6CE" w:rsidR="00817266" w:rsidRPr="00817266" w:rsidRDefault="00817266" w:rsidP="00817266">
      <w:pPr>
        <w:rPr>
          <w:rFonts w:ascii="Times New Roman" w:hAnsi="Times New Roman" w:cs="Times New Roman"/>
          <w:color w:val="000000"/>
          <w:sz w:val="24"/>
          <w:szCs w:val="24"/>
        </w:rPr>
      </w:pPr>
      <w:r w:rsidRPr="00817266">
        <w:rPr>
          <w:rStyle w:val="frag-heading"/>
          <w:rFonts w:ascii="Times New Roman" w:hAnsi="Times New Roman" w:cs="Times New Roman"/>
          <w:b/>
          <w:bCs/>
          <w:color w:val="000000"/>
          <w:sz w:val="24"/>
          <w:szCs w:val="24"/>
        </w:rPr>
        <w:t>Note.</w:t>
      </w:r>
      <w:r>
        <w:rPr>
          <w:rStyle w:val="frag-heading"/>
          <w:rFonts w:ascii="Times New Roman" w:hAnsi="Times New Roman" w:cs="Times New Roman"/>
          <w:b/>
          <w:bCs/>
          <w:color w:val="000000"/>
          <w:sz w:val="24"/>
          <w:szCs w:val="24"/>
        </w:rPr>
        <w:t xml:space="preserve">  </w:t>
      </w:r>
      <w:r w:rsidRPr="00817266">
        <w:rPr>
          <w:rFonts w:ascii="Times New Roman" w:hAnsi="Times New Roman" w:cs="Times New Roman"/>
          <w:color w:val="000000"/>
          <w:sz w:val="24"/>
          <w:szCs w:val="24"/>
        </w:rPr>
        <w:t>The relevant Ministers are required by section 19 to have regard to the marine estate management strategy in the exercise of their functions under this Act.</w:t>
      </w:r>
    </w:p>
    <w:p w14:paraId="2F7498F4" w14:textId="1FA4BFA1" w:rsidR="00817266" w:rsidRPr="00817266" w:rsidRDefault="00817266" w:rsidP="00F76D29">
      <w:pPr>
        <w:ind w:left="567"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(2)</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The relevant Ministers are to cause public notice to be given of the draft management plan.</w:t>
      </w:r>
    </w:p>
    <w:p w14:paraId="271C8FC0" w14:textId="0E584175" w:rsidR="00817266" w:rsidRPr="00817266" w:rsidRDefault="00817266" w:rsidP="00F76D29">
      <w:pPr>
        <w:ind w:left="567"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(3)</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The notice is to:</w:t>
      </w:r>
    </w:p>
    <w:p w14:paraId="0DC37AB1" w14:textId="6AD3E14B" w:rsidR="00817266" w:rsidRPr="00817266" w:rsidRDefault="00817266" w:rsidP="00F76D29">
      <w:pPr>
        <w:ind w:left="1134"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lastRenderedPageBreak/>
        <w:t>(a)</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specify the address of each place at which copies of the draft management plan are available, and</w:t>
      </w:r>
    </w:p>
    <w:p w14:paraId="1F4685C9" w14:textId="5D76F880" w:rsidR="00817266" w:rsidRPr="00817266" w:rsidRDefault="00817266" w:rsidP="00F76D29">
      <w:pPr>
        <w:ind w:left="1134"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highlight w:val="yellow"/>
        </w:rPr>
        <w:t>(b)</w:t>
      </w:r>
      <w:r>
        <w:rPr>
          <w:rStyle w:val="frag-no"/>
          <w:rFonts w:ascii="Times New Roman" w:hAnsi="Times New Roman" w:cs="Times New Roman"/>
          <w:color w:val="000000"/>
          <w:sz w:val="24"/>
          <w:szCs w:val="24"/>
          <w:highlight w:val="yellow"/>
        </w:rPr>
        <w:tab/>
      </w:r>
      <w:r w:rsidRPr="00817266">
        <w:rPr>
          <w:rFonts w:ascii="Times New Roman" w:hAnsi="Times New Roman" w:cs="Times New Roman"/>
          <w:color w:val="000000"/>
          <w:sz w:val="24"/>
          <w:szCs w:val="24"/>
          <w:highlight w:val="yellow"/>
        </w:rPr>
        <w:t>invite submissions to be made on the draft management plan before the date specified in the notice (being a date not less than 2 months after the date of the notice), and</w:t>
      </w:r>
    </w:p>
    <w:p w14:paraId="6F872D4F" w14:textId="382822E3" w:rsidR="00817266" w:rsidRPr="00817266" w:rsidRDefault="00817266" w:rsidP="00F76D29">
      <w:pPr>
        <w:ind w:left="1134"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(c)</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specify the address to which submissions are to be forwarded.</w:t>
      </w:r>
    </w:p>
    <w:p w14:paraId="2FE21FDE" w14:textId="76CF36E1" w:rsidR="00817266" w:rsidRPr="00817266" w:rsidRDefault="00817266" w:rsidP="00F76D29">
      <w:pPr>
        <w:ind w:left="567"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(4)</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The relevant Ministers are to consider any submissions made before the date referred to in subsection (3) (b), or such later date as the relevant Ministers allow.</w:t>
      </w:r>
    </w:p>
    <w:p w14:paraId="10ED5E58" w14:textId="06793C78" w:rsidR="00817266" w:rsidRPr="00817266" w:rsidRDefault="00817266" w:rsidP="00F76D29">
      <w:pPr>
        <w:ind w:left="567" w:hanging="567"/>
        <w:rPr>
          <w:rFonts w:ascii="Times New Roman" w:hAnsi="Times New Roman" w:cs="Times New Roman"/>
          <w:color w:val="000000"/>
          <w:sz w:val="24"/>
          <w:szCs w:val="24"/>
        </w:rPr>
      </w:pPr>
      <w:r w:rsidRPr="00817266">
        <w:rPr>
          <w:rStyle w:val="frag-no"/>
          <w:rFonts w:ascii="Times New Roman" w:hAnsi="Times New Roman" w:cs="Times New Roman"/>
          <w:color w:val="000000"/>
          <w:sz w:val="24"/>
          <w:szCs w:val="24"/>
        </w:rPr>
        <w:t>(5)</w:t>
      </w:r>
      <w:r>
        <w:rPr>
          <w:rStyle w:val="frag-no"/>
          <w:rFonts w:ascii="Times New Roman" w:hAnsi="Times New Roman" w:cs="Times New Roman"/>
          <w:color w:val="000000"/>
          <w:sz w:val="24"/>
          <w:szCs w:val="24"/>
        </w:rPr>
        <w:tab/>
      </w:r>
      <w:r w:rsidRPr="00817266">
        <w:rPr>
          <w:rFonts w:ascii="Times New Roman" w:hAnsi="Times New Roman" w:cs="Times New Roman"/>
          <w:color w:val="000000"/>
          <w:sz w:val="24"/>
          <w:szCs w:val="24"/>
        </w:rPr>
        <w:t>The relevant Ministers are to adopt a management plan for a marine park or an aquatic reserve as soon as practicable and, before doing so, may make changes to the draft plan that they think appropriate to take account of the submissions from the public.</w:t>
      </w:r>
    </w:p>
    <w:p w14:paraId="14F0C0B0" w14:textId="77777777" w:rsidR="0001460D" w:rsidRDefault="0001460D">
      <w:bookmarkStart w:id="1" w:name="_GoBack"/>
      <w:bookmarkEnd w:id="1"/>
    </w:p>
    <w:sectPr w:rsidR="00014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25"/>
    <w:rsid w:val="0001460D"/>
    <w:rsid w:val="002A0C25"/>
    <w:rsid w:val="00817266"/>
    <w:rsid w:val="00EB334D"/>
    <w:rsid w:val="00F76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6E22"/>
  <w15:chartTrackingRefBased/>
  <w15:docId w15:val="{F1222C49-E9D2-4D31-9373-818CE9A3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25"/>
    <w:rPr>
      <w:color w:val="0563C1" w:themeColor="hyperlink"/>
      <w:u w:val="single"/>
    </w:rPr>
  </w:style>
  <w:style w:type="character" w:styleId="UnresolvedMention">
    <w:name w:val="Unresolved Mention"/>
    <w:basedOn w:val="DefaultParagraphFont"/>
    <w:uiPriority w:val="99"/>
    <w:semiHidden/>
    <w:unhideWhenUsed/>
    <w:rsid w:val="002A0C25"/>
    <w:rPr>
      <w:color w:val="605E5C"/>
      <w:shd w:val="clear" w:color="auto" w:fill="E1DFDD"/>
    </w:rPr>
  </w:style>
  <w:style w:type="character" w:customStyle="1" w:styleId="ng-scope">
    <w:name w:val="ng-scope"/>
    <w:basedOn w:val="DefaultParagraphFont"/>
    <w:rsid w:val="00817266"/>
  </w:style>
  <w:style w:type="character" w:customStyle="1" w:styleId="currencyofversion">
    <w:name w:val="currencyofversion"/>
    <w:basedOn w:val="DefaultParagraphFont"/>
    <w:rsid w:val="00817266"/>
  </w:style>
  <w:style w:type="character" w:customStyle="1" w:styleId="ng-binding">
    <w:name w:val="ng-binding"/>
    <w:basedOn w:val="DefaultParagraphFont"/>
    <w:rsid w:val="00817266"/>
  </w:style>
  <w:style w:type="character" w:customStyle="1" w:styleId="nolink">
    <w:name w:val="nolink"/>
    <w:basedOn w:val="DefaultParagraphFont"/>
    <w:rsid w:val="00817266"/>
  </w:style>
  <w:style w:type="character" w:customStyle="1" w:styleId="frag-no">
    <w:name w:val="frag-no"/>
    <w:basedOn w:val="DefaultParagraphFont"/>
    <w:rsid w:val="00817266"/>
  </w:style>
  <w:style w:type="character" w:customStyle="1" w:styleId="frag-heading">
    <w:name w:val="frag-heading"/>
    <w:basedOn w:val="DefaultParagraphFont"/>
    <w:rsid w:val="0081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667130">
      <w:bodyDiv w:val="1"/>
      <w:marLeft w:val="0"/>
      <w:marRight w:val="0"/>
      <w:marTop w:val="0"/>
      <w:marBottom w:val="0"/>
      <w:divBdr>
        <w:top w:val="none" w:sz="0" w:space="0" w:color="auto"/>
        <w:left w:val="none" w:sz="0" w:space="0" w:color="auto"/>
        <w:bottom w:val="none" w:sz="0" w:space="0" w:color="auto"/>
        <w:right w:val="none" w:sz="0" w:space="0" w:color="auto"/>
      </w:divBdr>
      <w:divsChild>
        <w:div w:id="612980344">
          <w:marLeft w:val="0"/>
          <w:marRight w:val="0"/>
          <w:marTop w:val="75"/>
          <w:marBottom w:val="0"/>
          <w:divBdr>
            <w:top w:val="none" w:sz="0" w:space="0" w:color="auto"/>
            <w:left w:val="none" w:sz="0" w:space="0" w:color="auto"/>
            <w:bottom w:val="none" w:sz="0" w:space="0" w:color="auto"/>
            <w:right w:val="none" w:sz="0" w:space="0" w:color="auto"/>
          </w:divBdr>
        </w:div>
        <w:div w:id="1335956214">
          <w:marLeft w:val="0"/>
          <w:marRight w:val="0"/>
          <w:marTop w:val="0"/>
          <w:marBottom w:val="0"/>
          <w:divBdr>
            <w:top w:val="none" w:sz="0" w:space="0" w:color="auto"/>
            <w:left w:val="none" w:sz="0" w:space="0" w:color="auto"/>
            <w:bottom w:val="none" w:sz="0" w:space="0" w:color="auto"/>
            <w:right w:val="none" w:sz="0" w:space="0" w:color="auto"/>
          </w:divBdr>
        </w:div>
        <w:div w:id="18819074">
          <w:marLeft w:val="0"/>
          <w:marRight w:val="0"/>
          <w:marTop w:val="0"/>
          <w:marBottom w:val="0"/>
          <w:divBdr>
            <w:top w:val="none" w:sz="0" w:space="0" w:color="auto"/>
            <w:left w:val="none" w:sz="0" w:space="0" w:color="auto"/>
            <w:bottom w:val="none" w:sz="0" w:space="0" w:color="auto"/>
            <w:right w:val="none" w:sz="0" w:space="0" w:color="auto"/>
          </w:divBdr>
          <w:divsChild>
            <w:div w:id="1722973820">
              <w:marLeft w:val="0"/>
              <w:marRight w:val="0"/>
              <w:marTop w:val="0"/>
              <w:marBottom w:val="0"/>
              <w:divBdr>
                <w:top w:val="none" w:sz="0" w:space="0" w:color="auto"/>
                <w:left w:val="none" w:sz="0" w:space="0" w:color="auto"/>
                <w:bottom w:val="none" w:sz="0" w:space="0" w:color="auto"/>
                <w:right w:val="none" w:sz="0" w:space="0" w:color="auto"/>
              </w:divBdr>
              <w:divsChild>
                <w:div w:id="1803305593">
                  <w:marLeft w:val="340"/>
                  <w:marRight w:val="0"/>
                  <w:marTop w:val="160"/>
                  <w:marBottom w:val="200"/>
                  <w:divBdr>
                    <w:top w:val="none" w:sz="0" w:space="0" w:color="auto"/>
                    <w:left w:val="none" w:sz="0" w:space="0" w:color="auto"/>
                    <w:bottom w:val="none" w:sz="0" w:space="0" w:color="auto"/>
                    <w:right w:val="none" w:sz="0" w:space="0" w:color="auto"/>
                  </w:divBdr>
                </w:div>
                <w:div w:id="6351862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422571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7913084">
                          <w:marLeft w:val="0"/>
                          <w:marRight w:val="0"/>
                          <w:marTop w:val="0"/>
                          <w:marBottom w:val="0"/>
                          <w:divBdr>
                            <w:top w:val="none" w:sz="0" w:space="0" w:color="auto"/>
                            <w:left w:val="none" w:sz="0" w:space="0" w:color="auto"/>
                            <w:bottom w:val="none" w:sz="0" w:space="0" w:color="auto"/>
                            <w:right w:val="none" w:sz="0" w:space="0" w:color="auto"/>
                          </w:divBdr>
                          <w:divsChild>
                            <w:div w:id="6783114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9081562">
                          <w:marLeft w:val="0"/>
                          <w:marRight w:val="0"/>
                          <w:marTop w:val="0"/>
                          <w:marBottom w:val="0"/>
                          <w:divBdr>
                            <w:top w:val="none" w:sz="0" w:space="0" w:color="auto"/>
                            <w:left w:val="none" w:sz="0" w:space="0" w:color="auto"/>
                            <w:bottom w:val="none" w:sz="0" w:space="0" w:color="auto"/>
                            <w:right w:val="none" w:sz="0" w:space="0" w:color="auto"/>
                          </w:divBdr>
                          <w:divsChild>
                            <w:div w:id="20702242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0744129">
                          <w:marLeft w:val="0"/>
                          <w:marRight w:val="0"/>
                          <w:marTop w:val="0"/>
                          <w:marBottom w:val="0"/>
                          <w:divBdr>
                            <w:top w:val="none" w:sz="0" w:space="0" w:color="auto"/>
                            <w:left w:val="none" w:sz="0" w:space="0" w:color="auto"/>
                            <w:bottom w:val="none" w:sz="0" w:space="0" w:color="auto"/>
                            <w:right w:val="none" w:sz="0" w:space="0" w:color="auto"/>
                          </w:divBdr>
                          <w:divsChild>
                            <w:div w:id="1451509004">
                              <w:marLeft w:val="0"/>
                              <w:marRight w:val="0"/>
                              <w:marTop w:val="160"/>
                              <w:marBottom w:val="200"/>
                              <w:divBdr>
                                <w:top w:val="none" w:sz="0" w:space="0" w:color="auto"/>
                                <w:left w:val="none" w:sz="0" w:space="0" w:color="auto"/>
                                <w:bottom w:val="none" w:sz="0" w:space="0" w:color="auto"/>
                                <w:right w:val="none" w:sz="0" w:space="0" w:color="auto"/>
                              </w:divBdr>
                              <w:divsChild>
                                <w:div w:id="963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2301">
                      <w:blockQuote w:val="1"/>
                      <w:marLeft w:val="400"/>
                      <w:marRight w:val="0"/>
                      <w:marTop w:val="160"/>
                      <w:marBottom w:val="200"/>
                      <w:divBdr>
                        <w:top w:val="none" w:sz="0" w:space="0" w:color="auto"/>
                        <w:left w:val="none" w:sz="0" w:space="0" w:color="auto"/>
                        <w:bottom w:val="none" w:sz="0" w:space="0" w:color="auto"/>
                        <w:right w:val="none" w:sz="0" w:space="0" w:color="auto"/>
                      </w:divBdr>
                    </w:div>
                    <w:div w:id="167479957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605253">
                          <w:marLeft w:val="0"/>
                          <w:marRight w:val="0"/>
                          <w:marTop w:val="0"/>
                          <w:marBottom w:val="0"/>
                          <w:divBdr>
                            <w:top w:val="none" w:sz="0" w:space="0" w:color="auto"/>
                            <w:left w:val="none" w:sz="0" w:space="0" w:color="auto"/>
                            <w:bottom w:val="none" w:sz="0" w:space="0" w:color="auto"/>
                            <w:right w:val="none" w:sz="0" w:space="0" w:color="auto"/>
                          </w:divBdr>
                          <w:divsChild>
                            <w:div w:id="12520837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1075704">
                          <w:marLeft w:val="0"/>
                          <w:marRight w:val="0"/>
                          <w:marTop w:val="0"/>
                          <w:marBottom w:val="0"/>
                          <w:divBdr>
                            <w:top w:val="none" w:sz="0" w:space="0" w:color="auto"/>
                            <w:left w:val="none" w:sz="0" w:space="0" w:color="auto"/>
                            <w:bottom w:val="none" w:sz="0" w:space="0" w:color="auto"/>
                            <w:right w:val="none" w:sz="0" w:space="0" w:color="auto"/>
                          </w:divBdr>
                          <w:divsChild>
                            <w:div w:id="13054310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6906614">
                          <w:marLeft w:val="0"/>
                          <w:marRight w:val="0"/>
                          <w:marTop w:val="0"/>
                          <w:marBottom w:val="0"/>
                          <w:divBdr>
                            <w:top w:val="none" w:sz="0" w:space="0" w:color="auto"/>
                            <w:left w:val="none" w:sz="0" w:space="0" w:color="auto"/>
                            <w:bottom w:val="none" w:sz="0" w:space="0" w:color="auto"/>
                            <w:right w:val="none" w:sz="0" w:space="0" w:color="auto"/>
                          </w:divBdr>
                          <w:divsChild>
                            <w:div w:id="14774511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22745437">
                      <w:blockQuote w:val="1"/>
                      <w:marLeft w:val="400"/>
                      <w:marRight w:val="0"/>
                      <w:marTop w:val="160"/>
                      <w:marBottom w:val="200"/>
                      <w:divBdr>
                        <w:top w:val="none" w:sz="0" w:space="0" w:color="auto"/>
                        <w:left w:val="none" w:sz="0" w:space="0" w:color="auto"/>
                        <w:bottom w:val="none" w:sz="0" w:space="0" w:color="auto"/>
                        <w:right w:val="none" w:sz="0" w:space="0" w:color="auto"/>
                      </w:divBdr>
                    </w:div>
                    <w:div w:id="491603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3" Type="http://schemas.openxmlformats.org/officeDocument/2006/relationships/webSettings" Target="webSettings.xml"/><Relationship Id="rId7" Type="http://schemas.openxmlformats.org/officeDocument/2006/relationships/hyperlink" Target="https://www.legislation.nsw.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nsw.gov.au/" TargetMode="External"/><Relationship Id="rId5" Type="http://schemas.openxmlformats.org/officeDocument/2006/relationships/hyperlink" Target="https://www.legislation.nsw.gov.au/" TargetMode="External"/><Relationship Id="rId10" Type="http://schemas.openxmlformats.org/officeDocument/2006/relationships/theme" Target="theme/theme1.xml"/><Relationship Id="rId4" Type="http://schemas.openxmlformats.org/officeDocument/2006/relationships/hyperlink" Target="https://www.legislation.nsw.gov.au/#/view/act/2014/7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2</cp:revision>
  <dcterms:created xsi:type="dcterms:W3CDTF">2019-12-28T22:28:00Z</dcterms:created>
  <dcterms:modified xsi:type="dcterms:W3CDTF">2019-12-28T22:54:00Z</dcterms:modified>
</cp:coreProperties>
</file>